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57C7621" w:rsidR="0035553E" w:rsidRPr="00FE4BF5" w:rsidRDefault="00D564C1" w:rsidP="006A02A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Naczelnik Wydziału</w:t>
      </w:r>
      <w:r w:rsidR="006A02AD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76C908A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wyższe z zakresu administracji, pedagogiczne, ekonomiczne, pomocy społecznej lub inne związane z zakresem wydziału</w:t>
      </w:r>
      <w:r w:rsidR="004D33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13C018FB" w:rsidR="00A645E9" w:rsidRPr="006A02AD" w:rsidRDefault="00A645E9" w:rsidP="00820D1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AD"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 w:rsidRPr="006A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co najmniej 5-letni staż pracy</w:t>
      </w:r>
      <w:r w:rsidR="004D33AF" w:rsidRPr="006A02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B0D5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Znajomość:</w:t>
      </w:r>
    </w:p>
    <w:p w14:paraId="680AF0E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a)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5 czerwca 1998 r. o samorządzie powiatowym(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 U. z 2024 r. poz. 107 z późn.zm.);</w:t>
      </w:r>
    </w:p>
    <w:p w14:paraId="06C9DB1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b)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czerwca 1960 r. – Kodeks postępowania administracyjnego</w:t>
      </w:r>
    </w:p>
    <w:p w14:paraId="08E7BCA8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c)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grudnia 2016 r. Prawo oświatowe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 xml:space="preserve">. Dz. U. z 2024 r. poz. 737 z 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3D3D39B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d)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26 stycznia 1982 r. - Karta Nauczyciela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986 z późn.zm.)</w:t>
      </w:r>
    </w:p>
    <w:p w14:paraId="70DB322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e)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7 września 1991 r. o systemie oświaty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750 z późn.zm.)</w:t>
      </w:r>
    </w:p>
    <w:p w14:paraId="241F45B4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f)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27 października 2017 r. o finansowaniu zadań oświatowych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754 z późn.zm.)</w:t>
      </w:r>
    </w:p>
    <w:p w14:paraId="5EC1CDE6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g)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12 marca 2004 r. o pomocy społecznej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 xml:space="preserve">. Dz. U. z 2024 r., poz. 1283 z 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4C04E3A5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h)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25 października 1991 r. o organizowaniu i prowadzeniu działalności kulturalnej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Dz.U. z 2024 r., poz. 87)</w:t>
      </w:r>
    </w:p>
    <w:p w14:paraId="7ABE8CE4" w14:textId="729E0AC7" w:rsidR="00C31C0C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i)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21 listopada 1996 r. o muzeach (</w:t>
      </w:r>
      <w:proofErr w:type="spellStart"/>
      <w:r w:rsidRPr="006A02AD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A02AD">
        <w:rPr>
          <w:rFonts w:ascii="Times New Roman" w:hAnsi="Times New Roman" w:cs="Times New Roman"/>
          <w:bCs/>
          <w:sz w:val="24"/>
          <w:szCs w:val="24"/>
        </w:rPr>
        <w:t>. Dz. U. z 2022 r. poz. 385)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3FC65901" w:rsidR="008B51CF" w:rsidRDefault="006A02AD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="008B51CF" w:rsidRPr="008B51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1CF">
        <w:rPr>
          <w:rFonts w:ascii="Times New Roman" w:hAnsi="Times New Roman" w:cs="Times New Roman"/>
          <w:sz w:val="24"/>
          <w:szCs w:val="24"/>
        </w:rPr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studia podyplomowe, z zakresu zarządzania oświatą lub kurs kwalifikacyjny z zakresu zarządzania oświatą</w:t>
      </w:r>
      <w:r w:rsidR="008B51CF">
        <w:rPr>
          <w:rFonts w:ascii="Times New Roman" w:hAnsi="Times New Roman" w:cs="Times New Roman"/>
          <w:sz w:val="24"/>
          <w:szCs w:val="24"/>
        </w:rPr>
        <w:t>;</w:t>
      </w:r>
      <w:r w:rsidR="00B814AE">
        <w:rPr>
          <w:rFonts w:ascii="Times New Roman" w:hAnsi="Times New Roman" w:cs="Times New Roman"/>
          <w:sz w:val="24"/>
          <w:szCs w:val="24"/>
        </w:rPr>
        <w:t xml:space="preserve"> znajomość programu VULKAN</w:t>
      </w:r>
    </w:p>
    <w:p w14:paraId="7DC0BCBB" w14:textId="5F7D3BF1" w:rsidR="006A02AD" w:rsidRPr="006A02AD" w:rsidRDefault="003911A3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</w:t>
      </w:r>
      <w:r w:rsidR="006A02AD">
        <w:rPr>
          <w:rFonts w:ascii="Times New Roman" w:hAnsi="Times New Roman" w:cs="Times New Roman"/>
          <w:sz w:val="24"/>
          <w:szCs w:val="24"/>
        </w:rPr>
        <w:t>z</w:t>
      </w:r>
      <w:r w:rsidR="006A02AD" w:rsidRPr="006A02AD">
        <w:rPr>
          <w:rFonts w:ascii="Times New Roman" w:hAnsi="Times New Roman" w:cs="Times New Roman"/>
          <w:sz w:val="24"/>
          <w:szCs w:val="24"/>
        </w:rPr>
        <w:t>najomość zagadnień z zakresu zarządzania oświatą, pomocą społeczną, kulturą, zdrowiem</w:t>
      </w:r>
      <w:r w:rsidR="006A02AD" w:rsidRPr="003911A3">
        <w:rPr>
          <w:rFonts w:ascii="Times New Roman" w:hAnsi="Times New Roman" w:cs="Times New Roman"/>
          <w:sz w:val="24"/>
          <w:szCs w:val="24"/>
        </w:rPr>
        <w:t>;</w:t>
      </w:r>
    </w:p>
    <w:p w14:paraId="546F7D5B" w14:textId="4783C2D2" w:rsidR="003911A3" w:rsidRPr="003911A3" w:rsidRDefault="006A02AD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doświadczenie zawodowe</w:t>
      </w:r>
      <w:r w:rsidRPr="006A0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02AD"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co najmniej 3-letni staż pracy w jednostkach oświatowych lub samorządowych</w:t>
      </w:r>
      <w:r w:rsidR="00DD16AA">
        <w:rPr>
          <w:rFonts w:ascii="Times New Roman" w:hAnsi="Times New Roman" w:cs="Times New Roman"/>
          <w:sz w:val="24"/>
          <w:szCs w:val="24"/>
        </w:rPr>
        <w:t xml:space="preserve">, ponadto mile widziane </w:t>
      </w:r>
      <w:r w:rsidR="00DD16AA" w:rsidRPr="00DD16AA">
        <w:rPr>
          <w:rFonts w:ascii="Times New Roman" w:hAnsi="Times New Roman" w:cs="Times New Roman"/>
          <w:sz w:val="24"/>
          <w:szCs w:val="24"/>
        </w:rPr>
        <w:t>co najmniej 2-letnie doświadczenie na stanowisku związanym z kierowaniem zespołem</w:t>
      </w:r>
    </w:p>
    <w:p w14:paraId="669C71B5" w14:textId="5B1A0B3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sz w:val="24"/>
          <w:szCs w:val="24"/>
        </w:rPr>
        <w:t>odpowiedzialność, rzetelność, dyspozycyjność, odporność na stres,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156DBF03" w14:textId="179DDD3B" w:rsidR="00931BAE" w:rsidRPr="006A02AD" w:rsidRDefault="001C09A0" w:rsidP="008F5C9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6A02AD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6A02AD" w:rsidRPr="006A02AD">
        <w:rPr>
          <w:rFonts w:ascii="Times New Roman" w:hAnsi="Times New Roman" w:cs="Times New Roman"/>
          <w:sz w:val="24"/>
          <w:szCs w:val="24"/>
        </w:rPr>
        <w:t>kierowania zespołem, planowania i organizowania pracy, analizy i interpretacji przepisów prawa, przedstawiania i argumentowania swoich racji.</w:t>
      </w: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1C43798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 xml:space="preserve">Organizacja sprawnego funkcjonowania podległego Wydziału Edukacji i Zdrowia oraz zapewnienie realizacji powierzonych zadań. </w:t>
      </w:r>
    </w:p>
    <w:p w14:paraId="6398DB2B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Programowanie i organizacja pracy podległym pracownikom Wydziału zaspokajająca pełną realizację zadań wynikających z merytorycznego zakresu poszczególnych stanowisk pracy.</w:t>
      </w:r>
    </w:p>
    <w:p w14:paraId="7A1CFF3F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merytorycznym i terminowym załatwianiem spraw przez podległych pracowników oraz koordynowanie ich pracy.</w:t>
      </w:r>
    </w:p>
    <w:p w14:paraId="4579130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przestrzeganiem dyscypliny przez pracowników Wydziału oraz przepisów o ochronie informacji niejawnych.</w:t>
      </w:r>
    </w:p>
    <w:p w14:paraId="50DC49E9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Opracowywanie zakresów czynności dla pracowników podległego Wydziału.</w:t>
      </w:r>
    </w:p>
    <w:p w14:paraId="2E0C635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Dokonywanie oceny podległych pracowników oraz występowanie z wnioskami w ich sprawie/nagradzanie, wyróżnianie, awansowanie, karanie/.</w:t>
      </w:r>
    </w:p>
    <w:p w14:paraId="2C4B9F1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Wydawanie decyzji administracyjnych na podstawie upoważnienia Starosty.</w:t>
      </w:r>
    </w:p>
    <w:p w14:paraId="6C237F8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ze związkami zawodowymi działającymi w oświacie.</w:t>
      </w:r>
    </w:p>
    <w:p w14:paraId="28DFA0F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postanowień Rozdziału V § 12-19 Regulaminu Organizacyjnego Starostwa dotyczącego zadań wspólnych komórek organizacyjnych Starostwa.</w:t>
      </w:r>
    </w:p>
    <w:p w14:paraId="262F6F5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Nadzór nad wykonywaniem zadań § 24 Regulaminu Organizacyjnego Starostwa dotyczącego Wydziału Edukacji i Zdrowia.</w:t>
      </w:r>
    </w:p>
    <w:p w14:paraId="04CE176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 kierownikami jednostek organizacyjnych powiatu, funkcjonującymi w sferze objętej merytoryczną działalnością Wydziału.</w:t>
      </w:r>
    </w:p>
    <w:p w14:paraId="71645488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Analiza, opiniowanie i przedkładanie Staroście do zatwierdzenia arkuszy organizacyjnych pracy szkół i placówek na dany rok szkolny oraz ich bieżąca weryfikacja w ciągu roku szkolnego a także ich zatwierdzanie na podstawie upoważnienia Starosty.</w:t>
      </w:r>
    </w:p>
    <w:p w14:paraId="310BD341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Kontrola wykorzystania przyznanych dotacji celowych z budżetu Powiatu.</w:t>
      </w:r>
    </w:p>
    <w:p w14:paraId="2DB4232E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Przygotowywanie projektów uchwał Rady Powiatu, Zarządu Powiatu i zarządzeń Starosty pozostających w zakresie merytorycznej właściwości kierowanej komórki organizacyjnych.</w:t>
      </w:r>
    </w:p>
    <w:p w14:paraId="72B668E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Udział w posiedzeniach Zarządu Powiatu, Rady Powiatu i Komisjach Rady Powiatu.</w:t>
      </w:r>
    </w:p>
    <w:p w14:paraId="5AE2A9C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Starosty określonych w ustawie o dostępie do informacji publicznej.</w:t>
      </w:r>
    </w:p>
    <w:p w14:paraId="44970A2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zadań nie wymienionych, a wynikających z zakresu działania Wydziału.</w:t>
      </w:r>
    </w:p>
    <w:p w14:paraId="716C9CF4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prac zleconych przez Starostę, Wicestarostę i Sekretarza Powiatu.</w:t>
      </w:r>
    </w:p>
    <w:p w14:paraId="6ECE3E57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1F75A33E" w14:textId="77777777" w:rsidR="00DD16AA" w:rsidRDefault="00DD16AA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E4A09" w14:textId="370A413D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427E7F8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Budynek Starostwa jest dostosowany do poruszania się osób niepełnosprawnych z dysfunkcją kończyn dolnych (posiada windę</w:t>
      </w:r>
      <w:r w:rsidR="000F38D2">
        <w:rPr>
          <w:rFonts w:ascii="Times New Roman" w:hAnsi="Times New Roman" w:cs="Times New Roman"/>
          <w:sz w:val="24"/>
          <w:szCs w:val="24"/>
        </w:rPr>
        <w:t xml:space="preserve"> zewnętrzną</w:t>
      </w:r>
      <w:r w:rsidRPr="00C150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4A4B1F06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  <w:r w:rsidR="000F38D2">
        <w:rPr>
          <w:rFonts w:ascii="Times New Roman" w:hAnsi="Times New Roman" w:cs="Times New Roman"/>
          <w:sz w:val="24"/>
          <w:szCs w:val="24"/>
        </w:rPr>
        <w:t xml:space="preserve"> Planowany termin zatrudnienia od 1 </w:t>
      </w:r>
      <w:r w:rsidR="009A6FF9">
        <w:rPr>
          <w:rFonts w:ascii="Times New Roman" w:hAnsi="Times New Roman" w:cs="Times New Roman"/>
          <w:sz w:val="24"/>
          <w:szCs w:val="24"/>
        </w:rPr>
        <w:t>czerwca</w:t>
      </w:r>
      <w:r w:rsidR="000F38D2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0EFBBCCD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9A6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czerwca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0F38D2" w:rsidRPr="000F38D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NACZELNIK WYDZIAŁU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 w:rsidSect="00DD16A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38D2"/>
    <w:rsid w:val="000F456B"/>
    <w:rsid w:val="00135F81"/>
    <w:rsid w:val="00150ED6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A23F5"/>
    <w:rsid w:val="002D613B"/>
    <w:rsid w:val="00330506"/>
    <w:rsid w:val="00330C97"/>
    <w:rsid w:val="0035553E"/>
    <w:rsid w:val="00364934"/>
    <w:rsid w:val="003911A3"/>
    <w:rsid w:val="003A28FC"/>
    <w:rsid w:val="003B42DD"/>
    <w:rsid w:val="003D0F7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00B61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A02AD"/>
    <w:rsid w:val="006B28F4"/>
    <w:rsid w:val="00701EF3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12140"/>
    <w:rsid w:val="00822DC6"/>
    <w:rsid w:val="00835613"/>
    <w:rsid w:val="00840C38"/>
    <w:rsid w:val="00854567"/>
    <w:rsid w:val="00867865"/>
    <w:rsid w:val="0087647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A6BE0"/>
    <w:rsid w:val="009A6FF9"/>
    <w:rsid w:val="009B0D77"/>
    <w:rsid w:val="009B2F40"/>
    <w:rsid w:val="009B7C11"/>
    <w:rsid w:val="009C4C55"/>
    <w:rsid w:val="009D7AFA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E5ADF"/>
    <w:rsid w:val="00AF2ABB"/>
    <w:rsid w:val="00B00F4E"/>
    <w:rsid w:val="00B02133"/>
    <w:rsid w:val="00B61240"/>
    <w:rsid w:val="00B75B16"/>
    <w:rsid w:val="00B814AE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16AA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4570C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Małgorzata Woźniak</cp:lastModifiedBy>
  <cp:revision>2</cp:revision>
  <cp:lastPrinted>2025-05-28T07:42:00Z</cp:lastPrinted>
  <dcterms:created xsi:type="dcterms:W3CDTF">2025-05-28T13:18:00Z</dcterms:created>
  <dcterms:modified xsi:type="dcterms:W3CDTF">2025-05-28T13:18:00Z</dcterms:modified>
</cp:coreProperties>
</file>